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40"/>
        <w:ind w:left="100" w:right="0" w:firstLine="0"/>
        <w:jc w:val="left"/>
        <w:rPr>
          <w:rFonts w:ascii="Calibri"/>
          <w:b/>
          <w:sz w:val="16"/>
        </w:rPr>
      </w:pPr>
      <w:r>
        <w:rPr>
          <w:rFonts w:ascii="Calibri"/>
          <w:b/>
          <w:sz w:val="16"/>
        </w:rPr>
        <w:t>E Pro Dental</w:t>
      </w:r>
    </w:p>
    <w:p>
      <w:pPr>
        <w:spacing w:before="0"/>
        <w:ind w:left="100" w:right="-20" w:firstLine="0"/>
        <w:jc w:val="left"/>
        <w:rPr>
          <w:rFonts w:ascii="Calibri" w:hAnsi="Calibri"/>
          <w:b/>
          <w:sz w:val="16"/>
        </w:rPr>
      </w:pPr>
      <w:r>
        <w:rPr>
          <w:rFonts w:ascii="Calibri" w:hAnsi="Calibri"/>
          <w:b/>
          <w:sz w:val="16"/>
        </w:rPr>
        <w:t>#2100 8788 Mckim Way Richmond, BC V6X 4E2 Tel: +1 604‐370‐6786</w:t>
      </w:r>
    </w:p>
    <w:p>
      <w:pPr>
        <w:pStyle w:val="BodyText"/>
        <w:rPr>
          <w:rFonts w:ascii="Calibri"/>
          <w:b/>
          <w:sz w:val="30"/>
        </w:rPr>
      </w:pPr>
      <w:r>
        <w:rPr/>
        <w:br w:type="column"/>
      </w:r>
      <w:r>
        <w:rPr>
          <w:rFonts w:ascii="Calibri"/>
          <w:b/>
          <w:sz w:val="30"/>
        </w:rPr>
      </w:r>
    </w:p>
    <w:p>
      <w:pPr>
        <w:pStyle w:val="BodyText"/>
        <w:rPr>
          <w:rFonts w:ascii="Calibri"/>
          <w:b/>
          <w:sz w:val="30"/>
        </w:rPr>
      </w:pPr>
    </w:p>
    <w:p>
      <w:pPr>
        <w:pStyle w:val="BodyText"/>
        <w:spacing w:before="4"/>
        <w:rPr>
          <w:rFonts w:ascii="Calibri"/>
          <w:b/>
          <w:sz w:val="29"/>
        </w:rPr>
      </w:pPr>
    </w:p>
    <w:p>
      <w:pPr>
        <w:spacing w:line="259" w:lineRule="auto" w:before="1"/>
        <w:ind w:left="1662" w:right="2017" w:hanging="1563"/>
        <w:jc w:val="left"/>
        <w:rPr>
          <w:rFonts w:ascii="Arial"/>
          <w:b/>
          <w:sz w:val="28"/>
        </w:rPr>
      </w:pPr>
      <w:r>
        <w:rPr>
          <w:rFonts w:ascii="Arial"/>
          <w:b/>
          <w:sz w:val="28"/>
        </w:rPr>
        <w:t>Information Sheet for Patients with a Total Joint Replacement</w:t>
      </w:r>
    </w:p>
    <w:p>
      <w:pPr>
        <w:spacing w:after="0" w:line="259" w:lineRule="auto"/>
        <w:jc w:val="left"/>
        <w:rPr>
          <w:rFonts w:ascii="Arial"/>
          <w:sz w:val="28"/>
        </w:rPr>
        <w:sectPr>
          <w:type w:val="continuous"/>
          <w:pgSz w:w="12240" w:h="15840"/>
          <w:pgMar w:top="680" w:bottom="280" w:left="620" w:right="1320"/>
          <w:cols w:num="2" w:equalWidth="0">
            <w:col w:w="1690" w:space="858"/>
            <w:col w:w="7752"/>
          </w:cols>
        </w:sectPr>
      </w:pPr>
    </w:p>
    <w:p>
      <w:pPr>
        <w:pStyle w:val="BodyText"/>
        <w:spacing w:before="10"/>
        <w:rPr>
          <w:rFonts w:ascii="Arial"/>
          <w:b/>
          <w:sz w:val="17"/>
        </w:rPr>
      </w:pPr>
    </w:p>
    <w:p>
      <w:pPr>
        <w:pStyle w:val="BodyText"/>
        <w:spacing w:line="259" w:lineRule="auto" w:before="92"/>
        <w:ind w:left="640" w:right="1222"/>
        <w:rPr>
          <w:rFonts w:ascii="Arial"/>
        </w:rPr>
      </w:pPr>
      <w:r>
        <w:rPr>
          <w:rFonts w:ascii="Arial"/>
        </w:rPr>
        <w:t>There is a </w:t>
      </w:r>
      <w:r>
        <w:rPr>
          <w:rFonts w:ascii="Arial"/>
          <w:b/>
          <w:u w:val="thick"/>
        </w:rPr>
        <w:t>NEW </w:t>
      </w:r>
      <w:r>
        <w:rPr>
          <w:rFonts w:ascii="Arial"/>
          <w:b/>
        </w:rPr>
        <w:t>2016 </w:t>
      </w:r>
      <w:r>
        <w:rPr>
          <w:rFonts w:ascii="Arial"/>
        </w:rPr>
        <w:t>Consensus Statement on Dental Patients with Total Joint Replacement from the:</w:t>
      </w:r>
    </w:p>
    <w:p>
      <w:pPr>
        <w:pStyle w:val="ListParagraph"/>
        <w:numPr>
          <w:ilvl w:val="0"/>
          <w:numId w:val="1"/>
        </w:numPr>
        <w:tabs>
          <w:tab w:pos="1631" w:val="left" w:leader="none"/>
        </w:tabs>
        <w:spacing w:line="240" w:lineRule="auto" w:before="2" w:after="0"/>
        <w:ind w:left="1630" w:right="0" w:hanging="270"/>
        <w:jc w:val="left"/>
        <w:rPr>
          <w:rFonts w:ascii="Arial"/>
          <w:sz w:val="24"/>
        </w:rPr>
      </w:pPr>
      <w:r>
        <w:rPr>
          <w:rFonts w:ascii="Arial"/>
          <w:sz w:val="24"/>
        </w:rPr>
        <w:t>Canadian Orthopedic Association</w:t>
      </w:r>
      <w:r>
        <w:rPr>
          <w:rFonts w:ascii="Arial"/>
          <w:spacing w:val="-33"/>
          <w:sz w:val="24"/>
        </w:rPr>
        <w:t> </w:t>
      </w:r>
      <w:r>
        <w:rPr>
          <w:rFonts w:ascii="Arial"/>
          <w:sz w:val="24"/>
        </w:rPr>
        <w:t>(COA),</w:t>
      </w:r>
    </w:p>
    <w:p>
      <w:pPr>
        <w:pStyle w:val="ListParagraph"/>
        <w:numPr>
          <w:ilvl w:val="0"/>
          <w:numId w:val="1"/>
        </w:numPr>
        <w:tabs>
          <w:tab w:pos="1631" w:val="left" w:leader="none"/>
        </w:tabs>
        <w:spacing w:line="240" w:lineRule="auto" w:before="19" w:after="0"/>
        <w:ind w:left="1630" w:right="0" w:hanging="270"/>
        <w:jc w:val="left"/>
        <w:rPr>
          <w:rFonts w:ascii="Arial"/>
          <w:sz w:val="24"/>
        </w:rPr>
      </w:pPr>
      <w:r>
        <w:rPr>
          <w:rFonts w:ascii="Arial"/>
          <w:sz w:val="24"/>
        </w:rPr>
        <w:t>Canadian Dental Association (CDA) and</w:t>
      </w:r>
      <w:r>
        <w:rPr>
          <w:rFonts w:ascii="Arial"/>
          <w:spacing w:val="-33"/>
          <w:sz w:val="24"/>
        </w:rPr>
        <w:t> </w:t>
      </w:r>
      <w:r>
        <w:rPr>
          <w:rFonts w:ascii="Arial"/>
          <w:sz w:val="24"/>
        </w:rPr>
        <w:t>the</w:t>
      </w:r>
    </w:p>
    <w:p>
      <w:pPr>
        <w:pStyle w:val="ListParagraph"/>
        <w:numPr>
          <w:ilvl w:val="0"/>
          <w:numId w:val="1"/>
        </w:numPr>
        <w:tabs>
          <w:tab w:pos="1631" w:val="left" w:leader="none"/>
        </w:tabs>
        <w:spacing w:line="240" w:lineRule="auto" w:before="20" w:after="0"/>
        <w:ind w:left="1630" w:right="0" w:hanging="270"/>
        <w:jc w:val="left"/>
        <w:rPr>
          <w:rFonts w:ascii="Arial"/>
          <w:sz w:val="24"/>
        </w:rPr>
      </w:pPr>
      <w:r>
        <w:rPr>
          <w:rFonts w:ascii="Arial"/>
          <w:sz w:val="24"/>
        </w:rPr>
        <w:t>Association of Medical Microbiology and Infectious Disease</w:t>
      </w:r>
      <w:r>
        <w:rPr>
          <w:rFonts w:ascii="Arial"/>
          <w:spacing w:val="-4"/>
          <w:sz w:val="24"/>
        </w:rPr>
        <w:t> </w:t>
      </w:r>
      <w:r>
        <w:rPr>
          <w:rFonts w:ascii="Arial"/>
          <w:sz w:val="24"/>
        </w:rPr>
        <w:t>(AMMI)</w:t>
      </w:r>
    </w:p>
    <w:p>
      <w:pPr>
        <w:pStyle w:val="BodyText"/>
        <w:spacing w:before="6"/>
        <w:rPr>
          <w:rFonts w:ascii="Arial"/>
          <w:sz w:val="27"/>
        </w:rPr>
      </w:pPr>
    </w:p>
    <w:p>
      <w:pPr>
        <w:pStyle w:val="BodyText"/>
        <w:spacing w:before="1"/>
        <w:ind w:left="639"/>
        <w:rPr>
          <w:rFonts w:ascii="Arial"/>
        </w:rPr>
      </w:pPr>
      <w:r>
        <w:rPr>
          <w:rFonts w:ascii="Arial"/>
        </w:rPr>
        <w:t>The recommendations are:</w:t>
      </w:r>
    </w:p>
    <w:p>
      <w:pPr>
        <w:pStyle w:val="Heading3"/>
        <w:numPr>
          <w:ilvl w:val="0"/>
          <w:numId w:val="2"/>
        </w:numPr>
        <w:tabs>
          <w:tab w:pos="1629" w:val="left" w:leader="none"/>
          <w:tab w:pos="1630" w:val="left" w:leader="none"/>
        </w:tabs>
        <w:spacing w:line="259" w:lineRule="auto" w:before="21" w:after="0"/>
        <w:ind w:left="1630" w:right="146" w:hanging="540"/>
        <w:jc w:val="left"/>
        <w:rPr>
          <w:u w:val="none"/>
        </w:rPr>
      </w:pPr>
      <w:r>
        <w:rPr>
          <w:u w:val="none"/>
        </w:rPr>
        <w:t>Patients should </w:t>
      </w:r>
      <w:r>
        <w:rPr>
          <w:u w:val="thick"/>
        </w:rPr>
        <w:t>NOT </w:t>
      </w:r>
      <w:r>
        <w:rPr>
          <w:u w:val="none"/>
        </w:rPr>
        <w:t>be exposed to the adverse effects of antibiotics when there is no evidence that such prophylaxis is of any</w:t>
      </w:r>
      <w:r>
        <w:rPr>
          <w:spacing w:val="-24"/>
          <w:u w:val="none"/>
        </w:rPr>
        <w:t> </w:t>
      </w:r>
      <w:r>
        <w:rPr>
          <w:u w:val="none"/>
        </w:rPr>
        <w:t>benefit.</w:t>
      </w:r>
    </w:p>
    <w:p>
      <w:pPr>
        <w:pStyle w:val="ListParagraph"/>
        <w:numPr>
          <w:ilvl w:val="0"/>
          <w:numId w:val="2"/>
        </w:numPr>
        <w:tabs>
          <w:tab w:pos="1629" w:val="left" w:leader="none"/>
          <w:tab w:pos="1630" w:val="left" w:leader="none"/>
        </w:tabs>
        <w:spacing w:line="259" w:lineRule="auto" w:before="0" w:after="0"/>
        <w:ind w:left="1630" w:right="280" w:hanging="540"/>
        <w:jc w:val="left"/>
        <w:rPr>
          <w:rFonts w:ascii="Arial"/>
          <w:b/>
          <w:sz w:val="24"/>
        </w:rPr>
      </w:pPr>
      <w:r>
        <w:rPr>
          <w:rFonts w:ascii="Arial"/>
          <w:b/>
          <w:sz w:val="24"/>
        </w:rPr>
        <w:t>Routine antibiotic prophylaxis is </w:t>
      </w:r>
      <w:r>
        <w:rPr>
          <w:rFonts w:ascii="Arial"/>
          <w:b/>
          <w:sz w:val="24"/>
          <w:u w:val="thick"/>
        </w:rPr>
        <w:t>NOT </w:t>
      </w:r>
      <w:r>
        <w:rPr>
          <w:rFonts w:ascii="Arial"/>
          <w:b/>
          <w:sz w:val="24"/>
        </w:rPr>
        <w:t>indicated for dental patients with total joint replacements, nor for patients with orthopedic pins, plates, and screws.</w:t>
      </w:r>
    </w:p>
    <w:p>
      <w:pPr>
        <w:pStyle w:val="ListParagraph"/>
        <w:numPr>
          <w:ilvl w:val="0"/>
          <w:numId w:val="2"/>
        </w:numPr>
        <w:tabs>
          <w:tab w:pos="1629" w:val="left" w:leader="none"/>
          <w:tab w:pos="1630" w:val="left" w:leader="none"/>
        </w:tabs>
        <w:spacing w:line="259" w:lineRule="auto" w:before="0" w:after="0"/>
        <w:ind w:left="1630" w:right="198" w:hanging="540"/>
        <w:jc w:val="left"/>
        <w:rPr>
          <w:rFonts w:ascii="Arial"/>
          <w:sz w:val="24"/>
        </w:rPr>
      </w:pPr>
      <w:r>
        <w:rPr>
          <w:rFonts w:ascii="Arial"/>
          <w:sz w:val="24"/>
        </w:rPr>
        <w:t>Patients should be in optimal oral health prior to having total joint replacement and should maintain good oral hygiene and oral health following surgery. Orofacial infections in all patients, including those with total joint prostheses, should be treated to eliminate the source of the infection and prevent its</w:t>
      </w:r>
      <w:r>
        <w:rPr>
          <w:rFonts w:ascii="Arial"/>
          <w:spacing w:val="-28"/>
          <w:sz w:val="24"/>
        </w:rPr>
        <w:t> </w:t>
      </w:r>
      <w:r>
        <w:rPr>
          <w:rFonts w:ascii="Arial"/>
          <w:sz w:val="24"/>
        </w:rPr>
        <w:t>spread.</w:t>
      </w:r>
    </w:p>
    <w:p>
      <w:pPr>
        <w:pStyle w:val="BodyText"/>
        <w:spacing w:before="11"/>
        <w:rPr>
          <w:rFonts w:ascii="Arial"/>
          <w:sz w:val="25"/>
        </w:rPr>
      </w:pPr>
    </w:p>
    <w:p>
      <w:pPr>
        <w:pStyle w:val="BodyText"/>
        <w:ind w:left="639"/>
        <w:rPr>
          <w:rFonts w:ascii="Arial"/>
        </w:rPr>
      </w:pPr>
      <w:r>
        <w:rPr>
          <w:rFonts w:ascii="Arial"/>
        </w:rPr>
        <w:t>See full statement from the CDA, COA and AMMI on the next page.</w:t>
      </w:r>
    </w:p>
    <w:p>
      <w:pPr>
        <w:pStyle w:val="BodyText"/>
        <w:spacing w:before="8"/>
        <w:rPr>
          <w:rFonts w:ascii="Arial"/>
          <w:sz w:val="27"/>
        </w:rPr>
      </w:pPr>
    </w:p>
    <w:p>
      <w:pPr>
        <w:pStyle w:val="BodyText"/>
        <w:spacing w:line="259" w:lineRule="auto"/>
        <w:ind w:left="639" w:right="369"/>
        <w:rPr>
          <w:rFonts w:ascii="Arial"/>
        </w:rPr>
      </w:pPr>
      <w:r>
        <w:rPr>
          <w:rFonts w:ascii="Arial"/>
        </w:rPr>
        <w:t>The evidence does not indicate that antibiotics taken before dental procedures help prevent infections of artificial joints, and the routine use of antibiotics in this manner has possible side-effects such as increased bacterial resistance, allergic reactions, and diarrhea.</w:t>
      </w:r>
    </w:p>
    <w:p>
      <w:pPr>
        <w:pStyle w:val="BodyText"/>
        <w:spacing w:before="10"/>
        <w:rPr>
          <w:rFonts w:ascii="Arial"/>
          <w:sz w:val="25"/>
        </w:rPr>
      </w:pPr>
    </w:p>
    <w:p>
      <w:pPr>
        <w:pStyle w:val="BodyText"/>
        <w:spacing w:line="259" w:lineRule="auto"/>
        <w:ind w:left="640" w:right="88"/>
        <w:rPr>
          <w:rFonts w:ascii="Arial"/>
        </w:rPr>
      </w:pPr>
      <w:r>
        <w:rPr>
          <w:rFonts w:ascii="Arial"/>
        </w:rPr>
        <w:t>Due to these </w:t>
      </w:r>
      <w:r>
        <w:rPr>
          <w:rFonts w:ascii="Arial"/>
          <w:b/>
        </w:rPr>
        <w:t>NEW </w:t>
      </w:r>
      <w:r>
        <w:rPr>
          <w:rFonts w:ascii="Arial"/>
        </w:rPr>
        <w:t>recommendations, we will </w:t>
      </w:r>
      <w:r>
        <w:rPr>
          <w:rFonts w:ascii="Arial"/>
          <w:b/>
          <w:u w:val="thick"/>
        </w:rPr>
        <w:t>NOT </w:t>
      </w:r>
      <w:r>
        <w:rPr>
          <w:rFonts w:ascii="Arial"/>
        </w:rPr>
        <w:t>routinely be prescribing prophylactic antibiotics for you due to your joint replacement. You may want to discuss this with your Orthopaedic Surgeon or your Family Doctor. If they feel that antibiotic prophylaxis is indicated for you due to a due previous joint infection or other information specific to you, then please have your MD give you a prescription for the antibiotics they want you to take, and then you can bring it to your dental appointment.</w:t>
      </w:r>
    </w:p>
    <w:p>
      <w:pPr>
        <w:spacing w:after="0" w:line="259" w:lineRule="auto"/>
        <w:rPr>
          <w:rFonts w:ascii="Arial"/>
        </w:rPr>
        <w:sectPr>
          <w:type w:val="continuous"/>
          <w:pgSz w:w="12240" w:h="15840"/>
          <w:pgMar w:top="680" w:bottom="280" w:left="620" w:right="1320"/>
        </w:sectPr>
      </w:pPr>
    </w:p>
    <w:p>
      <w:pPr>
        <w:pStyle w:val="BodyText"/>
        <w:spacing w:before="1"/>
        <w:rPr>
          <w:rFonts w:ascii="Arial"/>
          <w:sz w:val="14"/>
        </w:rPr>
      </w:pPr>
    </w:p>
    <w:p>
      <w:pPr>
        <w:spacing w:before="86"/>
        <w:ind w:left="0" w:right="99" w:firstLine="0"/>
        <w:jc w:val="right"/>
        <w:rPr>
          <w:sz w:val="32"/>
        </w:rPr>
      </w:pPr>
      <w:r>
        <w:rPr/>
        <w:drawing>
          <wp:anchor distT="0" distB="0" distL="0" distR="0" allowOverlap="1" layoutInCell="1" locked="0" behindDoc="0" simplePos="0" relativeHeight="1120">
            <wp:simplePos x="0" y="0"/>
            <wp:positionH relativeFrom="page">
              <wp:posOffset>914400</wp:posOffset>
            </wp:positionH>
            <wp:positionV relativeFrom="paragraph">
              <wp:posOffset>-103155</wp:posOffset>
            </wp:positionV>
            <wp:extent cx="1024255" cy="1024254"/>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024255" cy="1024254"/>
                    </a:xfrm>
                    <a:prstGeom prst="rect">
                      <a:avLst/>
                    </a:prstGeom>
                  </pic:spPr>
                </pic:pic>
              </a:graphicData>
            </a:graphic>
          </wp:anchor>
        </w:drawing>
      </w:r>
      <w:r>
        <w:rPr>
          <w:sz w:val="32"/>
        </w:rPr>
        <w:t>Consensus Statement:</w:t>
      </w:r>
    </w:p>
    <w:p>
      <w:pPr>
        <w:pStyle w:val="Heading1"/>
        <w:spacing w:before="6"/>
        <w:ind w:right="101"/>
      </w:pPr>
      <w:r>
        <w:rPr/>
        <w:t>Patients with Total Joint Replacements</w:t>
      </w:r>
    </w:p>
    <w:p>
      <w:pPr>
        <w:spacing w:before="0"/>
        <w:ind w:left="0" w:right="100" w:firstLine="0"/>
        <w:jc w:val="right"/>
        <w:rPr>
          <w:b/>
          <w:sz w:val="48"/>
        </w:rPr>
      </w:pPr>
      <w:r>
        <w:rPr>
          <w:b/>
          <w:sz w:val="48"/>
        </w:rPr>
        <w:t>having Dental Procedures</w:t>
      </w:r>
    </w:p>
    <w:p>
      <w:pPr>
        <w:pStyle w:val="BodyText"/>
        <w:rPr>
          <w:b/>
          <w:sz w:val="20"/>
        </w:rPr>
      </w:pPr>
    </w:p>
    <w:p>
      <w:pPr>
        <w:pStyle w:val="Heading2"/>
        <w:spacing w:before="225"/>
      </w:pPr>
      <w:r>
        <w:rPr/>
        <w:t>Preamble</w:t>
      </w:r>
    </w:p>
    <w:p>
      <w:pPr>
        <w:pStyle w:val="BodyText"/>
        <w:spacing w:before="269"/>
        <w:ind w:left="140" w:right="915"/>
      </w:pPr>
      <w:r>
        <w:rPr/>
        <w:t>The origin of prosthetic joint infections has been a controversial topic for dentists, physicians and patients. Confusion surrounds the risk of dental procedure-related bacteremia and the subsequent risk of patients with orthopaedic devices developing prosthetic joint infection following such bacteremia.</w:t>
      </w:r>
    </w:p>
    <w:p>
      <w:pPr>
        <w:pStyle w:val="BodyText"/>
      </w:pPr>
    </w:p>
    <w:p>
      <w:pPr>
        <w:pStyle w:val="BodyText"/>
        <w:ind w:left="140" w:right="842"/>
      </w:pPr>
      <w:r>
        <w:rPr/>
        <w:t>The Canadian Orthopaedic Association (COA), the Canadian Dental Association (CDA) and the Association of Medical Microbiology and Infectious Disease (AMMI) Canada have reviewed the current best available evidence on the effectiveness of dental antibiotic prophylaxis in the reduction of orthopaedic prosthetic joint infections, in the context of the issue of emerging antimicrobial resistance and the critical role of all health care providers to steward appropriate use of antimicrobial drugs.</w:t>
      </w:r>
    </w:p>
    <w:p>
      <w:pPr>
        <w:pStyle w:val="BodyText"/>
      </w:pPr>
    </w:p>
    <w:p>
      <w:pPr>
        <w:pStyle w:val="BodyText"/>
        <w:ind w:left="140"/>
      </w:pPr>
      <w:r>
        <w:rPr/>
        <w:t>These professional bodies conclude that:</w:t>
      </w:r>
    </w:p>
    <w:p>
      <w:pPr>
        <w:pStyle w:val="BodyText"/>
      </w:pPr>
    </w:p>
    <w:p>
      <w:pPr>
        <w:pStyle w:val="ListParagraph"/>
        <w:numPr>
          <w:ilvl w:val="0"/>
          <w:numId w:val="3"/>
        </w:numPr>
        <w:tabs>
          <w:tab w:pos="1221" w:val="left" w:leader="none"/>
        </w:tabs>
        <w:spacing w:line="240" w:lineRule="auto" w:before="0" w:after="0"/>
        <w:ind w:left="1220" w:right="0" w:hanging="360"/>
        <w:jc w:val="left"/>
        <w:rPr>
          <w:sz w:val="24"/>
        </w:rPr>
      </w:pPr>
      <w:r>
        <w:rPr>
          <w:sz w:val="24"/>
        </w:rPr>
        <w:t>Most transient bacteremia of oral origin occurs outside of dental</w:t>
      </w:r>
      <w:r>
        <w:rPr>
          <w:spacing w:val="-12"/>
          <w:sz w:val="24"/>
        </w:rPr>
        <w:t> </w:t>
      </w:r>
      <w:r>
        <w:rPr>
          <w:sz w:val="24"/>
        </w:rPr>
        <w:t>procedures.</w:t>
      </w:r>
    </w:p>
    <w:p>
      <w:pPr>
        <w:pStyle w:val="BodyText"/>
        <w:spacing w:before="10"/>
        <w:rPr>
          <w:sz w:val="20"/>
        </w:rPr>
      </w:pPr>
    </w:p>
    <w:p>
      <w:pPr>
        <w:pStyle w:val="ListParagraph"/>
        <w:numPr>
          <w:ilvl w:val="0"/>
          <w:numId w:val="3"/>
        </w:numPr>
        <w:tabs>
          <w:tab w:pos="1221" w:val="left" w:leader="none"/>
        </w:tabs>
        <w:spacing w:line="240" w:lineRule="auto" w:before="0" w:after="0"/>
        <w:ind w:left="1220" w:right="990" w:hanging="360"/>
        <w:jc w:val="left"/>
        <w:rPr>
          <w:sz w:val="24"/>
        </w:rPr>
      </w:pPr>
      <w:r>
        <w:rPr>
          <w:sz w:val="24"/>
        </w:rPr>
        <w:t>The significant majority of prosthetic joint infections are not due to organisms</w:t>
      </w:r>
      <w:r>
        <w:rPr>
          <w:spacing w:val="-14"/>
          <w:sz w:val="24"/>
        </w:rPr>
        <w:t> </w:t>
      </w:r>
      <w:r>
        <w:rPr>
          <w:sz w:val="24"/>
        </w:rPr>
        <w:t>found in the</w:t>
      </w:r>
      <w:r>
        <w:rPr>
          <w:spacing w:val="-1"/>
          <w:sz w:val="24"/>
        </w:rPr>
        <w:t> </w:t>
      </w:r>
      <w:r>
        <w:rPr>
          <w:sz w:val="24"/>
        </w:rPr>
        <w:t>mouth.</w:t>
      </w:r>
    </w:p>
    <w:p>
      <w:pPr>
        <w:pStyle w:val="BodyText"/>
        <w:spacing w:before="10"/>
        <w:rPr>
          <w:sz w:val="20"/>
        </w:rPr>
      </w:pPr>
    </w:p>
    <w:p>
      <w:pPr>
        <w:pStyle w:val="ListParagraph"/>
        <w:numPr>
          <w:ilvl w:val="0"/>
          <w:numId w:val="3"/>
        </w:numPr>
        <w:tabs>
          <w:tab w:pos="1221" w:val="left" w:leader="none"/>
        </w:tabs>
        <w:spacing w:line="240" w:lineRule="auto" w:before="0" w:after="0"/>
        <w:ind w:left="1220" w:right="1200" w:hanging="360"/>
        <w:jc w:val="left"/>
        <w:rPr>
          <w:sz w:val="24"/>
        </w:rPr>
      </w:pPr>
      <w:r>
        <w:rPr>
          <w:sz w:val="24"/>
        </w:rPr>
        <w:t>Few prosthetic joint infections have an observable and clearly defined relationship with dental</w:t>
      </w:r>
      <w:r>
        <w:rPr>
          <w:spacing w:val="-5"/>
          <w:sz w:val="24"/>
        </w:rPr>
        <w:t> </w:t>
      </w:r>
      <w:r>
        <w:rPr>
          <w:sz w:val="24"/>
        </w:rPr>
        <w:t>procedures.</w:t>
      </w:r>
    </w:p>
    <w:p>
      <w:pPr>
        <w:pStyle w:val="BodyText"/>
        <w:spacing w:before="10"/>
        <w:rPr>
          <w:sz w:val="20"/>
        </w:rPr>
      </w:pPr>
    </w:p>
    <w:p>
      <w:pPr>
        <w:pStyle w:val="ListParagraph"/>
        <w:numPr>
          <w:ilvl w:val="0"/>
          <w:numId w:val="3"/>
        </w:numPr>
        <w:tabs>
          <w:tab w:pos="1221" w:val="left" w:leader="none"/>
        </w:tabs>
        <w:spacing w:line="240" w:lineRule="auto" w:before="0" w:after="0"/>
        <w:ind w:left="1220" w:right="1238" w:hanging="360"/>
        <w:jc w:val="left"/>
        <w:rPr>
          <w:sz w:val="24"/>
        </w:rPr>
      </w:pPr>
      <w:r>
        <w:rPr>
          <w:sz w:val="24"/>
        </w:rPr>
        <w:t>There is no reliable evidence that antibiotic prophylaxis prior to dental</w:t>
      </w:r>
      <w:r>
        <w:rPr>
          <w:spacing w:val="-15"/>
          <w:sz w:val="24"/>
        </w:rPr>
        <w:t> </w:t>
      </w:r>
      <w:r>
        <w:rPr>
          <w:sz w:val="24"/>
        </w:rPr>
        <w:t>procedures prevents prosthetic joint</w:t>
      </w:r>
      <w:r>
        <w:rPr>
          <w:spacing w:val="-8"/>
          <w:sz w:val="24"/>
        </w:rPr>
        <w:t> </w:t>
      </w:r>
      <w:r>
        <w:rPr>
          <w:sz w:val="24"/>
        </w:rPr>
        <w:t>infections.</w:t>
      </w:r>
    </w:p>
    <w:p>
      <w:pPr>
        <w:pStyle w:val="BodyText"/>
        <w:spacing w:before="4"/>
        <w:rPr>
          <w:sz w:val="21"/>
        </w:rPr>
      </w:pPr>
    </w:p>
    <w:p>
      <w:pPr>
        <w:pStyle w:val="Heading2"/>
      </w:pPr>
      <w:r>
        <w:rPr/>
        <w:t>Recommendations</w:t>
      </w:r>
    </w:p>
    <w:p>
      <w:pPr>
        <w:pStyle w:val="BodyText"/>
        <w:spacing w:before="271"/>
        <w:ind w:left="140" w:right="915"/>
      </w:pPr>
      <w:r>
        <w:rPr/>
        <w:t>As a result of this work, the COA, CDA, and AMMI Canada provide the following guidance concerning the management of dental patients with orthopaedic devices:</w:t>
      </w:r>
    </w:p>
    <w:p>
      <w:pPr>
        <w:pStyle w:val="BodyText"/>
      </w:pPr>
    </w:p>
    <w:p>
      <w:pPr>
        <w:pStyle w:val="ListParagraph"/>
        <w:numPr>
          <w:ilvl w:val="0"/>
          <w:numId w:val="4"/>
        </w:numPr>
        <w:tabs>
          <w:tab w:pos="1221" w:val="left" w:leader="none"/>
        </w:tabs>
        <w:spacing w:line="240" w:lineRule="auto" w:before="0" w:after="0"/>
        <w:ind w:left="1220" w:right="1111" w:hanging="360"/>
        <w:jc w:val="left"/>
        <w:rPr>
          <w:sz w:val="24"/>
        </w:rPr>
      </w:pPr>
      <w:r>
        <w:rPr>
          <w:sz w:val="24"/>
        </w:rPr>
        <w:t>Patients should not be exposed to the adverse effects of antibiotics when there is</w:t>
      </w:r>
      <w:r>
        <w:rPr>
          <w:spacing w:val="-16"/>
          <w:sz w:val="24"/>
        </w:rPr>
        <w:t> </w:t>
      </w:r>
      <w:r>
        <w:rPr>
          <w:sz w:val="24"/>
        </w:rPr>
        <w:t>no evidence that such prophylaxis is of any</w:t>
      </w:r>
      <w:r>
        <w:rPr>
          <w:spacing w:val="-9"/>
          <w:sz w:val="24"/>
        </w:rPr>
        <w:t> </w:t>
      </w:r>
      <w:r>
        <w:rPr>
          <w:sz w:val="24"/>
        </w:rPr>
        <w:t>benefit.</w:t>
      </w:r>
    </w:p>
    <w:p>
      <w:pPr>
        <w:pStyle w:val="BodyText"/>
        <w:spacing w:before="10"/>
        <w:rPr>
          <w:sz w:val="20"/>
        </w:rPr>
      </w:pPr>
    </w:p>
    <w:p>
      <w:pPr>
        <w:pStyle w:val="ListParagraph"/>
        <w:numPr>
          <w:ilvl w:val="0"/>
          <w:numId w:val="4"/>
        </w:numPr>
        <w:tabs>
          <w:tab w:pos="1221" w:val="left" w:leader="none"/>
        </w:tabs>
        <w:spacing w:line="240" w:lineRule="auto" w:before="0" w:after="0"/>
        <w:ind w:left="1220" w:right="1405" w:hanging="360"/>
        <w:jc w:val="left"/>
        <w:rPr>
          <w:sz w:val="24"/>
        </w:rPr>
      </w:pPr>
      <w:r>
        <w:rPr>
          <w:sz w:val="24"/>
        </w:rPr>
        <w:t>Routine antibiotic prophylaxis is not indicated for dental patients with total joint replacements, nor for patients with orthopaedic pins, plates and</w:t>
      </w:r>
      <w:r>
        <w:rPr>
          <w:spacing w:val="-9"/>
          <w:sz w:val="24"/>
        </w:rPr>
        <w:t> </w:t>
      </w:r>
      <w:r>
        <w:rPr>
          <w:sz w:val="24"/>
        </w:rPr>
        <w:t>screws.</w:t>
      </w:r>
    </w:p>
    <w:p>
      <w:pPr>
        <w:pStyle w:val="BodyText"/>
        <w:spacing w:before="10"/>
        <w:rPr>
          <w:sz w:val="20"/>
        </w:rPr>
      </w:pPr>
    </w:p>
    <w:p>
      <w:pPr>
        <w:pStyle w:val="ListParagraph"/>
        <w:numPr>
          <w:ilvl w:val="0"/>
          <w:numId w:val="4"/>
        </w:numPr>
        <w:tabs>
          <w:tab w:pos="1221" w:val="left" w:leader="none"/>
        </w:tabs>
        <w:spacing w:line="240" w:lineRule="auto" w:before="0" w:after="0"/>
        <w:ind w:left="1220" w:right="938" w:hanging="360"/>
        <w:jc w:val="left"/>
        <w:rPr>
          <w:sz w:val="24"/>
        </w:rPr>
      </w:pPr>
      <w:r>
        <w:rPr>
          <w:sz w:val="24"/>
        </w:rPr>
        <w:t>Patients should be in optimal oral health prior to having total joint replacement and should maintain good oral hygiene and oral health following surgery. Orofacial infections in all patients, including those with total joint prostheses, should be</w:t>
      </w:r>
      <w:r>
        <w:rPr>
          <w:spacing w:val="-18"/>
          <w:sz w:val="24"/>
        </w:rPr>
        <w:t> </w:t>
      </w:r>
      <w:r>
        <w:rPr>
          <w:sz w:val="24"/>
        </w:rPr>
        <w:t>treated to eliminate the source of infection and prevent its</w:t>
      </w:r>
      <w:r>
        <w:rPr>
          <w:spacing w:val="-10"/>
          <w:sz w:val="24"/>
        </w:rPr>
        <w:t> </w:t>
      </w:r>
      <w:r>
        <w:rPr>
          <w:sz w:val="24"/>
        </w:rPr>
        <w:t>spread.</w:t>
      </w:r>
    </w:p>
    <w:p>
      <w:pPr>
        <w:pStyle w:val="BodyText"/>
        <w:spacing w:before="10"/>
        <w:rPr>
          <w:sz w:val="20"/>
        </w:rPr>
      </w:pPr>
    </w:p>
    <w:p>
      <w:pPr>
        <w:spacing w:before="0"/>
        <w:ind w:left="140" w:right="7813" w:firstLine="0"/>
        <w:jc w:val="left"/>
        <w:rPr>
          <w:i/>
          <w:sz w:val="24"/>
        </w:rPr>
      </w:pPr>
      <w:r>
        <w:rPr>
          <w:i/>
          <w:sz w:val="24"/>
        </w:rPr>
        <w:t>COA Board of Directors </w:t>
      </w:r>
      <w:r>
        <w:rPr>
          <w:i/>
          <w:sz w:val="24"/>
        </w:rPr>
        <w:t>Approved: June 2016</w:t>
      </w:r>
    </w:p>
    <w:p>
      <w:pPr>
        <w:pStyle w:val="BodyText"/>
        <w:rPr>
          <w:i/>
        </w:rPr>
      </w:pPr>
    </w:p>
    <w:p>
      <w:pPr>
        <w:spacing w:before="0"/>
        <w:ind w:left="140" w:right="7667" w:firstLine="0"/>
        <w:jc w:val="left"/>
        <w:rPr>
          <w:i/>
          <w:sz w:val="24"/>
        </w:rPr>
      </w:pPr>
      <w:r>
        <w:rPr>
          <w:i/>
          <w:sz w:val="24"/>
        </w:rPr>
        <w:t>CDA Board of Directors </w:t>
      </w:r>
      <w:r>
        <w:rPr>
          <w:i/>
          <w:sz w:val="24"/>
        </w:rPr>
        <w:t>Approved: June 2016</w:t>
      </w:r>
    </w:p>
    <w:p>
      <w:pPr>
        <w:pStyle w:val="BodyText"/>
        <w:rPr>
          <w:i/>
        </w:rPr>
      </w:pPr>
    </w:p>
    <w:p>
      <w:pPr>
        <w:spacing w:before="0"/>
        <w:ind w:left="140" w:right="7667" w:firstLine="0"/>
        <w:jc w:val="left"/>
        <w:rPr>
          <w:i/>
          <w:sz w:val="24"/>
        </w:rPr>
      </w:pPr>
      <w:r>
        <w:rPr>
          <w:i/>
          <w:sz w:val="24"/>
        </w:rPr>
        <w:t>AMMI Board of Directors </w:t>
      </w:r>
      <w:r>
        <w:rPr>
          <w:i/>
          <w:sz w:val="24"/>
        </w:rPr>
        <w:t>Approved: July 2016</w:t>
      </w:r>
    </w:p>
    <w:p>
      <w:pPr>
        <w:pStyle w:val="BodyText"/>
        <w:rPr>
          <w:i/>
          <w:sz w:val="20"/>
        </w:rPr>
      </w:pPr>
    </w:p>
    <w:p>
      <w:pPr>
        <w:pStyle w:val="BodyText"/>
        <w:spacing w:before="1"/>
        <w:rPr>
          <w:i/>
          <w:sz w:val="11"/>
        </w:rPr>
      </w:pPr>
      <w:r>
        <w:rPr/>
        <w:pict>
          <v:line style="position:absolute;mso-position-horizontal-relative:page;mso-position-vertical-relative:paragraph;z-index:0;mso-wrap-distance-left:0;mso-wrap-distance-right:0" from="70.584pt,8.58527pt" to="541.54pt,8.58527pt" stroked="true" strokeweight=".48pt" strokecolor="#000000">
            <v:stroke dashstyle="shortdot"/>
            <w10:wrap type="topAndBottom"/>
          </v:line>
        </w:pict>
      </w:r>
      <w:r>
        <w:rPr/>
        <w:drawing>
          <wp:anchor distT="0" distB="0" distL="0" distR="0" allowOverlap="1" layoutInCell="1" locked="0" behindDoc="0" simplePos="0" relativeHeight="1048">
            <wp:simplePos x="0" y="0"/>
            <wp:positionH relativeFrom="page">
              <wp:posOffset>914400</wp:posOffset>
            </wp:positionH>
            <wp:positionV relativeFrom="paragraph">
              <wp:posOffset>255336</wp:posOffset>
            </wp:positionV>
            <wp:extent cx="671512" cy="671512"/>
            <wp:effectExtent l="0" t="0" r="0" b="0"/>
            <wp:wrapTopAndBottom/>
            <wp:docPr id="3" name="image1.jpeg" descr=""/>
            <wp:cNvGraphicFramePr>
              <a:graphicFrameLocks noChangeAspect="1"/>
            </wp:cNvGraphicFramePr>
            <a:graphic>
              <a:graphicData uri="http://schemas.openxmlformats.org/drawingml/2006/picture">
                <pic:pic>
                  <pic:nvPicPr>
                    <pic:cNvPr id="4" name="image1.jpeg"/>
                    <pic:cNvPicPr/>
                  </pic:nvPicPr>
                  <pic:blipFill>
                    <a:blip r:embed="rId5" cstate="print"/>
                    <a:stretch>
                      <a:fillRect/>
                    </a:stretch>
                  </pic:blipFill>
                  <pic:spPr>
                    <a:xfrm>
                      <a:off x="0" y="0"/>
                      <a:ext cx="671512" cy="671512"/>
                    </a:xfrm>
                    <a:prstGeom prst="rect">
                      <a:avLst/>
                    </a:prstGeom>
                  </pic:spPr>
                </pic:pic>
              </a:graphicData>
            </a:graphic>
          </wp:anchor>
        </w:drawing>
      </w:r>
      <w:r>
        <w:rPr/>
        <w:drawing>
          <wp:anchor distT="0" distB="0" distL="0" distR="0" allowOverlap="1" layoutInCell="1" locked="0" behindDoc="0" simplePos="0" relativeHeight="1072">
            <wp:simplePos x="0" y="0"/>
            <wp:positionH relativeFrom="page">
              <wp:posOffset>3348354</wp:posOffset>
            </wp:positionH>
            <wp:positionV relativeFrom="paragraph">
              <wp:posOffset>257241</wp:posOffset>
            </wp:positionV>
            <wp:extent cx="1090032" cy="608076"/>
            <wp:effectExtent l="0" t="0" r="0" b="0"/>
            <wp:wrapTopAndBottom/>
            <wp:docPr id="5" name="image2.jpeg" descr=""/>
            <wp:cNvGraphicFramePr>
              <a:graphicFrameLocks noChangeAspect="1"/>
            </wp:cNvGraphicFramePr>
            <a:graphic>
              <a:graphicData uri="http://schemas.openxmlformats.org/drawingml/2006/picture">
                <pic:pic>
                  <pic:nvPicPr>
                    <pic:cNvPr id="6" name="image2.jpeg"/>
                    <pic:cNvPicPr/>
                  </pic:nvPicPr>
                  <pic:blipFill>
                    <a:blip r:embed="rId6" cstate="print"/>
                    <a:stretch>
                      <a:fillRect/>
                    </a:stretch>
                  </pic:blipFill>
                  <pic:spPr>
                    <a:xfrm>
                      <a:off x="0" y="0"/>
                      <a:ext cx="1090032" cy="608076"/>
                    </a:xfrm>
                    <a:prstGeom prst="rect">
                      <a:avLst/>
                    </a:prstGeom>
                  </pic:spPr>
                </pic:pic>
              </a:graphicData>
            </a:graphic>
          </wp:anchor>
        </w:drawing>
      </w:r>
      <w:r>
        <w:rPr/>
        <w:drawing>
          <wp:anchor distT="0" distB="0" distL="0" distR="0" allowOverlap="1" layoutInCell="1" locked="0" behindDoc="0" simplePos="0" relativeHeight="1096">
            <wp:simplePos x="0" y="0"/>
            <wp:positionH relativeFrom="page">
              <wp:posOffset>5801995</wp:posOffset>
            </wp:positionH>
            <wp:positionV relativeFrom="paragraph">
              <wp:posOffset>255336</wp:posOffset>
            </wp:positionV>
            <wp:extent cx="1054026" cy="591978"/>
            <wp:effectExtent l="0" t="0" r="0" b="0"/>
            <wp:wrapTopAndBottom/>
            <wp:docPr id="7" name="image3.png" descr=""/>
            <wp:cNvGraphicFramePr>
              <a:graphicFrameLocks noChangeAspect="1"/>
            </wp:cNvGraphicFramePr>
            <a:graphic>
              <a:graphicData uri="http://schemas.openxmlformats.org/drawingml/2006/picture">
                <pic:pic>
                  <pic:nvPicPr>
                    <pic:cNvPr id="8" name="image3.png"/>
                    <pic:cNvPicPr/>
                  </pic:nvPicPr>
                  <pic:blipFill>
                    <a:blip r:embed="rId7" cstate="print"/>
                    <a:stretch>
                      <a:fillRect/>
                    </a:stretch>
                  </pic:blipFill>
                  <pic:spPr>
                    <a:xfrm>
                      <a:off x="0" y="0"/>
                      <a:ext cx="1054026" cy="591978"/>
                    </a:xfrm>
                    <a:prstGeom prst="rect">
                      <a:avLst/>
                    </a:prstGeom>
                  </pic:spPr>
                </pic:pic>
              </a:graphicData>
            </a:graphic>
          </wp:anchor>
        </w:drawing>
      </w:r>
    </w:p>
    <w:p>
      <w:pPr>
        <w:pStyle w:val="BodyText"/>
        <w:spacing w:before="7"/>
        <w:rPr>
          <w:i/>
          <w:sz w:val="13"/>
        </w:rPr>
      </w:pPr>
    </w:p>
    <w:p>
      <w:pPr>
        <w:spacing w:before="88"/>
        <w:ind w:left="267" w:right="974" w:firstLine="8"/>
        <w:jc w:val="center"/>
        <w:rPr>
          <w:sz w:val="20"/>
        </w:rPr>
      </w:pPr>
      <w:r>
        <w:rPr>
          <w:sz w:val="20"/>
        </w:rPr>
        <w:t>This information was created by the Canadian Orthopaedic Association (COA), the Canadian Dental Association (CDA) and the Association of Medical Microbiology and Infectious Disease (AMMI). It should not be used as a replacement for professional dental or medical advice. If you have questions about this position statement, please contact the Canadian Orthopaedic Association.</w:t>
      </w:r>
    </w:p>
    <w:sectPr>
      <w:pgSz w:w="12240" w:h="20160"/>
      <w:pgMar w:top="720" w:bottom="280" w:left="130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220" w:hanging="360"/>
        <w:jc w:val="left"/>
      </w:pPr>
      <w:rPr>
        <w:rFonts w:hint="default" w:ascii="Times New Roman" w:hAnsi="Times New Roman" w:eastAsia="Times New Roman" w:cs="Times New Roman"/>
        <w:spacing w:val="-5"/>
        <w:w w:val="99"/>
        <w:sz w:val="24"/>
        <w:szCs w:val="24"/>
      </w:rPr>
    </w:lvl>
    <w:lvl w:ilvl="1">
      <w:start w:val="0"/>
      <w:numFmt w:val="bullet"/>
      <w:lvlText w:val="•"/>
      <w:lvlJc w:val="left"/>
      <w:pPr>
        <w:ind w:left="2132" w:hanging="360"/>
      </w:pPr>
      <w:rPr>
        <w:rFonts w:hint="default"/>
      </w:rPr>
    </w:lvl>
    <w:lvl w:ilvl="2">
      <w:start w:val="0"/>
      <w:numFmt w:val="bullet"/>
      <w:lvlText w:val="•"/>
      <w:lvlJc w:val="left"/>
      <w:pPr>
        <w:ind w:left="3044" w:hanging="360"/>
      </w:pPr>
      <w:rPr>
        <w:rFonts w:hint="default"/>
      </w:rPr>
    </w:lvl>
    <w:lvl w:ilvl="3">
      <w:start w:val="0"/>
      <w:numFmt w:val="bullet"/>
      <w:lvlText w:val="•"/>
      <w:lvlJc w:val="left"/>
      <w:pPr>
        <w:ind w:left="3956" w:hanging="360"/>
      </w:pPr>
      <w:rPr>
        <w:rFonts w:hint="default"/>
      </w:rPr>
    </w:lvl>
    <w:lvl w:ilvl="4">
      <w:start w:val="0"/>
      <w:numFmt w:val="bullet"/>
      <w:lvlText w:val="•"/>
      <w:lvlJc w:val="left"/>
      <w:pPr>
        <w:ind w:left="486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692" w:hanging="360"/>
      </w:pPr>
      <w:rPr>
        <w:rFonts w:hint="default"/>
      </w:rPr>
    </w:lvl>
    <w:lvl w:ilvl="7">
      <w:start w:val="0"/>
      <w:numFmt w:val="bullet"/>
      <w:lvlText w:val="•"/>
      <w:lvlJc w:val="left"/>
      <w:pPr>
        <w:ind w:left="7604" w:hanging="360"/>
      </w:pPr>
      <w:rPr>
        <w:rFonts w:hint="default"/>
      </w:rPr>
    </w:lvl>
    <w:lvl w:ilvl="8">
      <w:start w:val="0"/>
      <w:numFmt w:val="bullet"/>
      <w:lvlText w:val="•"/>
      <w:lvlJc w:val="left"/>
      <w:pPr>
        <w:ind w:left="8516" w:hanging="360"/>
      </w:pPr>
      <w:rPr>
        <w:rFonts w:hint="default"/>
      </w:rPr>
    </w:lvl>
  </w:abstractNum>
  <w:abstractNum w:abstractNumId="2">
    <w:multiLevelType w:val="hybridMultilevel"/>
    <w:lvl w:ilvl="0">
      <w:start w:val="1"/>
      <w:numFmt w:val="decimal"/>
      <w:lvlText w:val="%1."/>
      <w:lvlJc w:val="left"/>
      <w:pPr>
        <w:ind w:left="1220" w:hanging="360"/>
        <w:jc w:val="left"/>
      </w:pPr>
      <w:rPr>
        <w:rFonts w:hint="default" w:ascii="Times New Roman" w:hAnsi="Times New Roman" w:eastAsia="Times New Roman" w:cs="Times New Roman"/>
        <w:spacing w:val="-3"/>
        <w:w w:val="99"/>
        <w:sz w:val="24"/>
        <w:szCs w:val="24"/>
      </w:rPr>
    </w:lvl>
    <w:lvl w:ilvl="1">
      <w:start w:val="0"/>
      <w:numFmt w:val="bullet"/>
      <w:lvlText w:val="•"/>
      <w:lvlJc w:val="left"/>
      <w:pPr>
        <w:ind w:left="2132" w:hanging="360"/>
      </w:pPr>
      <w:rPr>
        <w:rFonts w:hint="default"/>
      </w:rPr>
    </w:lvl>
    <w:lvl w:ilvl="2">
      <w:start w:val="0"/>
      <w:numFmt w:val="bullet"/>
      <w:lvlText w:val="•"/>
      <w:lvlJc w:val="left"/>
      <w:pPr>
        <w:ind w:left="3044" w:hanging="360"/>
      </w:pPr>
      <w:rPr>
        <w:rFonts w:hint="default"/>
      </w:rPr>
    </w:lvl>
    <w:lvl w:ilvl="3">
      <w:start w:val="0"/>
      <w:numFmt w:val="bullet"/>
      <w:lvlText w:val="•"/>
      <w:lvlJc w:val="left"/>
      <w:pPr>
        <w:ind w:left="3956" w:hanging="360"/>
      </w:pPr>
      <w:rPr>
        <w:rFonts w:hint="default"/>
      </w:rPr>
    </w:lvl>
    <w:lvl w:ilvl="4">
      <w:start w:val="0"/>
      <w:numFmt w:val="bullet"/>
      <w:lvlText w:val="•"/>
      <w:lvlJc w:val="left"/>
      <w:pPr>
        <w:ind w:left="4868" w:hanging="360"/>
      </w:pPr>
      <w:rPr>
        <w:rFonts w:hint="default"/>
      </w:rPr>
    </w:lvl>
    <w:lvl w:ilvl="5">
      <w:start w:val="0"/>
      <w:numFmt w:val="bullet"/>
      <w:lvlText w:val="•"/>
      <w:lvlJc w:val="left"/>
      <w:pPr>
        <w:ind w:left="5780" w:hanging="360"/>
      </w:pPr>
      <w:rPr>
        <w:rFonts w:hint="default"/>
      </w:rPr>
    </w:lvl>
    <w:lvl w:ilvl="6">
      <w:start w:val="0"/>
      <w:numFmt w:val="bullet"/>
      <w:lvlText w:val="•"/>
      <w:lvlJc w:val="left"/>
      <w:pPr>
        <w:ind w:left="6692" w:hanging="360"/>
      </w:pPr>
      <w:rPr>
        <w:rFonts w:hint="default"/>
      </w:rPr>
    </w:lvl>
    <w:lvl w:ilvl="7">
      <w:start w:val="0"/>
      <w:numFmt w:val="bullet"/>
      <w:lvlText w:val="•"/>
      <w:lvlJc w:val="left"/>
      <w:pPr>
        <w:ind w:left="7604" w:hanging="360"/>
      </w:pPr>
      <w:rPr>
        <w:rFonts w:hint="default"/>
      </w:rPr>
    </w:lvl>
    <w:lvl w:ilvl="8">
      <w:start w:val="0"/>
      <w:numFmt w:val="bullet"/>
      <w:lvlText w:val="•"/>
      <w:lvlJc w:val="left"/>
      <w:pPr>
        <w:ind w:left="8516" w:hanging="360"/>
      </w:pPr>
      <w:rPr>
        <w:rFonts w:hint="default"/>
      </w:rPr>
    </w:lvl>
  </w:abstractNum>
  <w:abstractNum w:abstractNumId="1">
    <w:multiLevelType w:val="hybridMultilevel"/>
    <w:lvl w:ilvl="0">
      <w:start w:val="1"/>
      <w:numFmt w:val="decimal"/>
      <w:lvlText w:val="%1."/>
      <w:lvlJc w:val="left"/>
      <w:pPr>
        <w:ind w:left="1630" w:hanging="540"/>
        <w:jc w:val="left"/>
      </w:pPr>
      <w:rPr>
        <w:rFonts w:hint="default" w:ascii="Arial" w:hAnsi="Arial" w:eastAsia="Arial" w:cs="Arial"/>
        <w:b/>
        <w:bCs/>
        <w:spacing w:val="-3"/>
        <w:w w:val="99"/>
        <w:sz w:val="24"/>
        <w:szCs w:val="24"/>
      </w:rPr>
    </w:lvl>
    <w:lvl w:ilvl="1">
      <w:start w:val="0"/>
      <w:numFmt w:val="bullet"/>
      <w:lvlText w:val="•"/>
      <w:lvlJc w:val="left"/>
      <w:pPr>
        <w:ind w:left="2506" w:hanging="540"/>
      </w:pPr>
      <w:rPr>
        <w:rFonts w:hint="default"/>
      </w:rPr>
    </w:lvl>
    <w:lvl w:ilvl="2">
      <w:start w:val="0"/>
      <w:numFmt w:val="bullet"/>
      <w:lvlText w:val="•"/>
      <w:lvlJc w:val="left"/>
      <w:pPr>
        <w:ind w:left="3372" w:hanging="540"/>
      </w:pPr>
      <w:rPr>
        <w:rFonts w:hint="default"/>
      </w:rPr>
    </w:lvl>
    <w:lvl w:ilvl="3">
      <w:start w:val="0"/>
      <w:numFmt w:val="bullet"/>
      <w:lvlText w:val="•"/>
      <w:lvlJc w:val="left"/>
      <w:pPr>
        <w:ind w:left="4238" w:hanging="540"/>
      </w:pPr>
      <w:rPr>
        <w:rFonts w:hint="default"/>
      </w:rPr>
    </w:lvl>
    <w:lvl w:ilvl="4">
      <w:start w:val="0"/>
      <w:numFmt w:val="bullet"/>
      <w:lvlText w:val="•"/>
      <w:lvlJc w:val="left"/>
      <w:pPr>
        <w:ind w:left="5104" w:hanging="540"/>
      </w:pPr>
      <w:rPr>
        <w:rFonts w:hint="default"/>
      </w:rPr>
    </w:lvl>
    <w:lvl w:ilvl="5">
      <w:start w:val="0"/>
      <w:numFmt w:val="bullet"/>
      <w:lvlText w:val="•"/>
      <w:lvlJc w:val="left"/>
      <w:pPr>
        <w:ind w:left="5970" w:hanging="540"/>
      </w:pPr>
      <w:rPr>
        <w:rFonts w:hint="default"/>
      </w:rPr>
    </w:lvl>
    <w:lvl w:ilvl="6">
      <w:start w:val="0"/>
      <w:numFmt w:val="bullet"/>
      <w:lvlText w:val="•"/>
      <w:lvlJc w:val="left"/>
      <w:pPr>
        <w:ind w:left="6836" w:hanging="540"/>
      </w:pPr>
      <w:rPr>
        <w:rFonts w:hint="default"/>
      </w:rPr>
    </w:lvl>
    <w:lvl w:ilvl="7">
      <w:start w:val="0"/>
      <w:numFmt w:val="bullet"/>
      <w:lvlText w:val="•"/>
      <w:lvlJc w:val="left"/>
      <w:pPr>
        <w:ind w:left="7702" w:hanging="540"/>
      </w:pPr>
      <w:rPr>
        <w:rFonts w:hint="default"/>
      </w:rPr>
    </w:lvl>
    <w:lvl w:ilvl="8">
      <w:start w:val="0"/>
      <w:numFmt w:val="bullet"/>
      <w:lvlText w:val="•"/>
      <w:lvlJc w:val="left"/>
      <w:pPr>
        <w:ind w:left="8568" w:hanging="540"/>
      </w:pPr>
      <w:rPr>
        <w:rFonts w:hint="default"/>
      </w:rPr>
    </w:lvl>
  </w:abstractNum>
  <w:abstractNum w:abstractNumId="0">
    <w:multiLevelType w:val="hybridMultilevel"/>
    <w:lvl w:ilvl="0">
      <w:start w:val="0"/>
      <w:numFmt w:val="bullet"/>
      <w:lvlText w:val=""/>
      <w:lvlJc w:val="left"/>
      <w:pPr>
        <w:ind w:left="1630" w:hanging="271"/>
      </w:pPr>
      <w:rPr>
        <w:rFonts w:hint="default" w:ascii="Symbol" w:hAnsi="Symbol" w:eastAsia="Symbol" w:cs="Symbol"/>
        <w:w w:val="100"/>
        <w:sz w:val="24"/>
        <w:szCs w:val="24"/>
      </w:rPr>
    </w:lvl>
    <w:lvl w:ilvl="1">
      <w:start w:val="0"/>
      <w:numFmt w:val="bullet"/>
      <w:lvlText w:val="•"/>
      <w:lvlJc w:val="left"/>
      <w:pPr>
        <w:ind w:left="2506" w:hanging="271"/>
      </w:pPr>
      <w:rPr>
        <w:rFonts w:hint="default"/>
      </w:rPr>
    </w:lvl>
    <w:lvl w:ilvl="2">
      <w:start w:val="0"/>
      <w:numFmt w:val="bullet"/>
      <w:lvlText w:val="•"/>
      <w:lvlJc w:val="left"/>
      <w:pPr>
        <w:ind w:left="3372" w:hanging="271"/>
      </w:pPr>
      <w:rPr>
        <w:rFonts w:hint="default"/>
      </w:rPr>
    </w:lvl>
    <w:lvl w:ilvl="3">
      <w:start w:val="0"/>
      <w:numFmt w:val="bullet"/>
      <w:lvlText w:val="•"/>
      <w:lvlJc w:val="left"/>
      <w:pPr>
        <w:ind w:left="4238" w:hanging="271"/>
      </w:pPr>
      <w:rPr>
        <w:rFonts w:hint="default"/>
      </w:rPr>
    </w:lvl>
    <w:lvl w:ilvl="4">
      <w:start w:val="0"/>
      <w:numFmt w:val="bullet"/>
      <w:lvlText w:val="•"/>
      <w:lvlJc w:val="left"/>
      <w:pPr>
        <w:ind w:left="5104" w:hanging="271"/>
      </w:pPr>
      <w:rPr>
        <w:rFonts w:hint="default"/>
      </w:rPr>
    </w:lvl>
    <w:lvl w:ilvl="5">
      <w:start w:val="0"/>
      <w:numFmt w:val="bullet"/>
      <w:lvlText w:val="•"/>
      <w:lvlJc w:val="left"/>
      <w:pPr>
        <w:ind w:left="5970" w:hanging="271"/>
      </w:pPr>
      <w:rPr>
        <w:rFonts w:hint="default"/>
      </w:rPr>
    </w:lvl>
    <w:lvl w:ilvl="6">
      <w:start w:val="0"/>
      <w:numFmt w:val="bullet"/>
      <w:lvlText w:val="•"/>
      <w:lvlJc w:val="left"/>
      <w:pPr>
        <w:ind w:left="6836" w:hanging="271"/>
      </w:pPr>
      <w:rPr>
        <w:rFonts w:hint="default"/>
      </w:rPr>
    </w:lvl>
    <w:lvl w:ilvl="7">
      <w:start w:val="0"/>
      <w:numFmt w:val="bullet"/>
      <w:lvlText w:val="•"/>
      <w:lvlJc w:val="left"/>
      <w:pPr>
        <w:ind w:left="7702" w:hanging="271"/>
      </w:pPr>
      <w:rPr>
        <w:rFonts w:hint="default"/>
      </w:rPr>
    </w:lvl>
    <w:lvl w:ilvl="8">
      <w:start w:val="0"/>
      <w:numFmt w:val="bullet"/>
      <w:lvlText w:val="•"/>
      <w:lvlJc w:val="left"/>
      <w:pPr>
        <w:ind w:left="8568" w:hanging="271"/>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ind w:right="100"/>
      <w:jc w:val="right"/>
      <w:outlineLvl w:val="1"/>
    </w:pPr>
    <w:rPr>
      <w:rFonts w:ascii="Times New Roman" w:hAnsi="Times New Roman" w:eastAsia="Times New Roman" w:cs="Times New Roman"/>
      <w:b/>
      <w:bCs/>
      <w:sz w:val="48"/>
      <w:szCs w:val="48"/>
    </w:rPr>
  </w:style>
  <w:style w:styleId="Heading2" w:type="paragraph">
    <w:name w:val="Heading 2"/>
    <w:basedOn w:val="Normal"/>
    <w:uiPriority w:val="1"/>
    <w:qFormat/>
    <w:pPr>
      <w:ind w:left="140"/>
      <w:outlineLvl w:val="2"/>
    </w:pPr>
    <w:rPr>
      <w:rFonts w:ascii="Times New Roman" w:hAnsi="Times New Roman" w:eastAsia="Times New Roman" w:cs="Times New Roman"/>
      <w:b/>
      <w:bCs/>
      <w:sz w:val="36"/>
      <w:szCs w:val="36"/>
    </w:rPr>
  </w:style>
  <w:style w:styleId="Heading3" w:type="paragraph">
    <w:name w:val="Heading 3"/>
    <w:basedOn w:val="Normal"/>
    <w:uiPriority w:val="1"/>
    <w:qFormat/>
    <w:pPr>
      <w:ind w:left="1630" w:right="146" w:hanging="540"/>
      <w:outlineLvl w:val="3"/>
    </w:pPr>
    <w:rPr>
      <w:rFonts w:ascii="Arial" w:hAnsi="Arial" w:eastAsia="Arial" w:cs="Arial"/>
      <w:b/>
      <w:bCs/>
      <w:sz w:val="24"/>
      <w:szCs w:val="24"/>
      <w:u w:val="single" w:color="000000"/>
    </w:rPr>
  </w:style>
  <w:style w:styleId="ListParagraph" w:type="paragraph">
    <w:name w:val="List Paragraph"/>
    <w:basedOn w:val="Normal"/>
    <w:uiPriority w:val="1"/>
    <w:qFormat/>
    <w:pPr>
      <w:ind w:left="1220" w:hanging="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image" Target="media/image3.png"/><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171E1FC2A024469F1EBDCF261AF9F8" ma:contentTypeVersion="11" ma:contentTypeDescription="Create a new document." ma:contentTypeScope="" ma:versionID="43409f2b5ab55e706418bf10132f3211">
  <xsd:schema xmlns:xsd="http://www.w3.org/2001/XMLSchema" xmlns:xs="http://www.w3.org/2001/XMLSchema" xmlns:p="http://schemas.microsoft.com/office/2006/metadata/properties" xmlns:ns2="14f7139d-cd6b-419b-a29d-94544f5376e8" xmlns:ns3="2da0402a-9e3b-4202-8f55-5af66c957a61" targetNamespace="http://schemas.microsoft.com/office/2006/metadata/properties" ma:root="true" ma:fieldsID="5fb5ae6aeabc8b077fb801c2cdb7742b" ns2:_="" ns3:_="">
    <xsd:import namespace="14f7139d-cd6b-419b-a29d-94544f5376e8"/>
    <xsd:import namespace="2da0402a-9e3b-4202-8f55-5af66c957a6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f7139d-cd6b-419b-a29d-94544f537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b97f00-6489-4fbd-9510-b9f3549300c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a0402a-9e3b-4202-8f55-5af66c957a6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f4e5239-0954-4f48-906a-1b11f13cb14e}" ma:internalName="TaxCatchAll" ma:showField="CatchAllData" ma:web="2da0402a-9e3b-4202-8f55-5af66c957a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da0402a-9e3b-4202-8f55-5af66c957a61" xsi:nil="true"/>
    <lcf76f155ced4ddcb4097134ff3c332f xmlns="14f7139d-cd6b-419b-a29d-94544f5376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7CDD114-7C9E-4AA5-AB13-49035F0A4190}"/>
</file>

<file path=customXml/itemProps2.xml><?xml version="1.0" encoding="utf-8"?>
<ds:datastoreItem xmlns:ds="http://schemas.openxmlformats.org/officeDocument/2006/customXml" ds:itemID="{6D5130AB-9858-4792-8724-B04371DDA670}"/>
</file>

<file path=customXml/itemProps3.xml><?xml version="1.0" encoding="utf-8"?>
<ds:datastoreItem xmlns:ds="http://schemas.openxmlformats.org/officeDocument/2006/customXml" ds:itemID="{C262FC20-04BD-4516-94AF-88D3E5F1AE9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Info Sheet for Patients with an Total Joint Replacement Feb 2017.docx</dc:title>
  <dc:creator>Eric</dc:creator>
  <dcterms:created xsi:type="dcterms:W3CDTF">2018-10-01T09:51:16Z</dcterms:created>
  <dcterms:modified xsi:type="dcterms:W3CDTF">2018-10-01T09:51:16Z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2018-10-01T00:00:00Z</vt:filetime>
  </property>
  <property fmtid="{D5CDD505-2E9C-101B-9397-08002B2CF9AE}" pid="3" name="Creator">
    <vt:lpwstr>PScript5.dll Version 5.2.2</vt:lpwstr>
  </property>
  <property fmtid="{D5CDD505-2E9C-101B-9397-08002B2CF9AE}" pid="4" name="LastSaved">
    <vt:filetime>2018-10-01T00:00:00Z</vt:filetime>
  </property>
  <property fmtid="{D5CDD505-2E9C-101B-9397-08002B2CF9AE}" pid="5" name="ContentTypeId">
    <vt:lpwstr>0x010100BD171E1FC2A024469F1EBDCF261AF9F8</vt:lpwstr>
  </property>
  <property fmtid="{D5CDD505-2E9C-101B-9397-08002B2CF9AE}" pid="6" name="Order">
    <vt:r8>122200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ies>
</file>